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58EB" w14:textId="1197EC59" w:rsidR="00EE2EA6" w:rsidRPr="00EE2EA6" w:rsidRDefault="00EE2EA6" w:rsidP="00EE2EA6">
      <w:pPr>
        <w:rPr>
          <w:b/>
          <w:bCs/>
          <w:sz w:val="32"/>
          <w:szCs w:val="32"/>
        </w:rPr>
      </w:pPr>
      <w:r w:rsidRPr="00EE2EA6">
        <w:rPr>
          <w:b/>
          <w:bCs/>
          <w:sz w:val="32"/>
          <w:szCs w:val="32"/>
        </w:rPr>
        <w:t>Clarifications for Respondents</w:t>
      </w:r>
    </w:p>
    <w:tbl>
      <w:tblPr>
        <w:tblStyle w:val="TableGrid"/>
        <w:tblW w:w="0" w:type="auto"/>
        <w:tblLook w:val="04A0" w:firstRow="1" w:lastRow="0" w:firstColumn="1" w:lastColumn="0" w:noHBand="0" w:noVBand="1"/>
      </w:tblPr>
      <w:tblGrid>
        <w:gridCol w:w="595"/>
        <w:gridCol w:w="2749"/>
        <w:gridCol w:w="3455"/>
        <w:gridCol w:w="7149"/>
      </w:tblGrid>
      <w:tr w:rsidR="00E11554" w:rsidRPr="00E11554" w14:paraId="4BC4AC7B" w14:textId="77777777" w:rsidTr="00003472">
        <w:trPr>
          <w:tblHeader/>
        </w:trPr>
        <w:tc>
          <w:tcPr>
            <w:tcW w:w="0" w:type="auto"/>
            <w:shd w:val="clear" w:color="auto" w:fill="A5C9EB" w:themeFill="text2" w:themeFillTint="40"/>
            <w:hideMark/>
          </w:tcPr>
          <w:p w14:paraId="7E27E517" w14:textId="77777777" w:rsidR="00E11554" w:rsidRPr="00E11554" w:rsidRDefault="00E11554" w:rsidP="00E11554">
            <w:pPr>
              <w:spacing w:after="160" w:line="278" w:lineRule="auto"/>
              <w:rPr>
                <w:b/>
                <w:bCs/>
              </w:rPr>
            </w:pPr>
            <w:r w:rsidRPr="00E11554">
              <w:rPr>
                <w:b/>
                <w:bCs/>
              </w:rPr>
              <w:t>No.</w:t>
            </w:r>
          </w:p>
        </w:tc>
        <w:tc>
          <w:tcPr>
            <w:tcW w:w="0" w:type="auto"/>
            <w:shd w:val="clear" w:color="auto" w:fill="A5C9EB" w:themeFill="text2" w:themeFillTint="40"/>
            <w:hideMark/>
          </w:tcPr>
          <w:p w14:paraId="5B8CAE59" w14:textId="77777777" w:rsidR="00E11554" w:rsidRPr="00E11554" w:rsidRDefault="00E11554" w:rsidP="00E11554">
            <w:pPr>
              <w:spacing w:after="160" w:line="278" w:lineRule="auto"/>
              <w:rPr>
                <w:b/>
                <w:bCs/>
              </w:rPr>
            </w:pPr>
            <w:r w:rsidRPr="00E11554">
              <w:rPr>
                <w:b/>
                <w:bCs/>
              </w:rPr>
              <w:t>Topic</w:t>
            </w:r>
          </w:p>
        </w:tc>
        <w:tc>
          <w:tcPr>
            <w:tcW w:w="3455" w:type="dxa"/>
            <w:shd w:val="clear" w:color="auto" w:fill="A5C9EB" w:themeFill="text2" w:themeFillTint="40"/>
            <w:hideMark/>
          </w:tcPr>
          <w:p w14:paraId="3F096413" w14:textId="77777777" w:rsidR="00E11554" w:rsidRPr="00E11554" w:rsidRDefault="00E11554" w:rsidP="00E11554">
            <w:pPr>
              <w:spacing w:after="160" w:line="278" w:lineRule="auto"/>
              <w:rPr>
                <w:b/>
                <w:bCs/>
              </w:rPr>
            </w:pPr>
            <w:r w:rsidRPr="00E11554">
              <w:rPr>
                <w:b/>
                <w:bCs/>
              </w:rPr>
              <w:t>Question</w:t>
            </w:r>
          </w:p>
        </w:tc>
        <w:tc>
          <w:tcPr>
            <w:tcW w:w="7149" w:type="dxa"/>
            <w:shd w:val="clear" w:color="auto" w:fill="A5C9EB" w:themeFill="text2" w:themeFillTint="40"/>
            <w:hideMark/>
          </w:tcPr>
          <w:p w14:paraId="6650FB46" w14:textId="77777777" w:rsidR="00E11554" w:rsidRPr="00E11554" w:rsidRDefault="00E11554" w:rsidP="00E11554">
            <w:pPr>
              <w:spacing w:after="160" w:line="278" w:lineRule="auto"/>
              <w:rPr>
                <w:b/>
                <w:bCs/>
              </w:rPr>
            </w:pPr>
            <w:r w:rsidRPr="00E11554">
              <w:rPr>
                <w:b/>
                <w:bCs/>
              </w:rPr>
              <w:t>Response</w:t>
            </w:r>
          </w:p>
        </w:tc>
      </w:tr>
      <w:tr w:rsidR="00E11554" w:rsidRPr="00E11554" w14:paraId="5886392B" w14:textId="77777777" w:rsidTr="00003472">
        <w:tc>
          <w:tcPr>
            <w:tcW w:w="0" w:type="auto"/>
            <w:hideMark/>
          </w:tcPr>
          <w:p w14:paraId="5319D4C8" w14:textId="77777777" w:rsidR="00E11554" w:rsidRPr="00E11554" w:rsidRDefault="00E11554" w:rsidP="00E11554">
            <w:pPr>
              <w:spacing w:after="160" w:line="278" w:lineRule="auto"/>
            </w:pPr>
            <w:r w:rsidRPr="00E11554">
              <w:t>1</w:t>
            </w:r>
          </w:p>
        </w:tc>
        <w:tc>
          <w:tcPr>
            <w:tcW w:w="0" w:type="auto"/>
            <w:hideMark/>
          </w:tcPr>
          <w:p w14:paraId="2104DE4A" w14:textId="77777777" w:rsidR="00E11554" w:rsidRPr="00E11554" w:rsidRDefault="00E11554" w:rsidP="00E11554">
            <w:pPr>
              <w:spacing w:after="160" w:line="278" w:lineRule="auto"/>
              <w:rPr>
                <w:b/>
                <w:bCs/>
              </w:rPr>
            </w:pPr>
            <w:r w:rsidRPr="00E11554">
              <w:rPr>
                <w:b/>
                <w:bCs/>
              </w:rPr>
              <w:t>Alignment with the MEL Framework for Australia’s Disability Strategy (ADS)</w:t>
            </w:r>
          </w:p>
        </w:tc>
        <w:tc>
          <w:tcPr>
            <w:tcW w:w="3455" w:type="dxa"/>
            <w:hideMark/>
          </w:tcPr>
          <w:p w14:paraId="52D08A5C" w14:textId="77777777" w:rsidR="00E11554" w:rsidRPr="00E11554" w:rsidRDefault="00E11554" w:rsidP="00E11554">
            <w:pPr>
              <w:spacing w:after="160" w:line="278" w:lineRule="auto"/>
            </w:pPr>
            <w:r w:rsidRPr="00E11554">
              <w:t>How should the evaluation framework align with the Monitoring and Evaluation Framework for Australia’s Disability Strategy (ADS)?</w:t>
            </w:r>
          </w:p>
        </w:tc>
        <w:tc>
          <w:tcPr>
            <w:tcW w:w="7149" w:type="dxa"/>
            <w:hideMark/>
          </w:tcPr>
          <w:p w14:paraId="2558BE38" w14:textId="77777777" w:rsidR="00E11554" w:rsidRPr="00E11554" w:rsidRDefault="00E11554" w:rsidP="00E11554">
            <w:pPr>
              <w:spacing w:after="160" w:line="278" w:lineRule="auto"/>
            </w:pPr>
            <w:r w:rsidRPr="00E11554">
              <w:t>Alignment with the Monitoring and Evaluation Framework for Australia’s Disability Strategy is desirable. The intention is that any evaluation framework developed for this project should be able to map logically to high</w:t>
            </w:r>
            <w:r w:rsidRPr="00E11554">
              <w:noBreakHyphen/>
              <w:t>level ADS outcomes where feasible, while remaining proportionate to the scope, timing, and budget of this work. Respondents may propose how alignment could be achieved pragmatically, including where ADS</w:t>
            </w:r>
            <w:r w:rsidRPr="00E11554">
              <w:noBreakHyphen/>
              <w:t>level data may be leveraged rather than duplicating data collection.</w:t>
            </w:r>
          </w:p>
        </w:tc>
      </w:tr>
      <w:tr w:rsidR="00E11554" w:rsidRPr="00E11554" w14:paraId="1FF80D38" w14:textId="77777777" w:rsidTr="00003472">
        <w:tc>
          <w:tcPr>
            <w:tcW w:w="0" w:type="auto"/>
            <w:hideMark/>
          </w:tcPr>
          <w:p w14:paraId="304C03C2" w14:textId="77777777" w:rsidR="00E11554" w:rsidRPr="00E11554" w:rsidRDefault="00E11554" w:rsidP="00E11554">
            <w:pPr>
              <w:spacing w:after="160" w:line="278" w:lineRule="auto"/>
            </w:pPr>
            <w:r w:rsidRPr="00E11554">
              <w:t>2</w:t>
            </w:r>
          </w:p>
        </w:tc>
        <w:tc>
          <w:tcPr>
            <w:tcW w:w="0" w:type="auto"/>
            <w:hideMark/>
          </w:tcPr>
          <w:p w14:paraId="6F38FAD9" w14:textId="77777777" w:rsidR="00E11554" w:rsidRPr="00E11554" w:rsidRDefault="00E11554" w:rsidP="00E11554">
            <w:pPr>
              <w:spacing w:after="160" w:line="278" w:lineRule="auto"/>
              <w:rPr>
                <w:b/>
                <w:bCs/>
              </w:rPr>
            </w:pPr>
            <w:r w:rsidRPr="00E11554">
              <w:rPr>
                <w:b/>
                <w:bCs/>
              </w:rPr>
              <w:t>Involvement of people with disability</w:t>
            </w:r>
          </w:p>
        </w:tc>
        <w:tc>
          <w:tcPr>
            <w:tcW w:w="3455" w:type="dxa"/>
            <w:hideMark/>
          </w:tcPr>
          <w:p w14:paraId="77FC3AB5" w14:textId="77777777" w:rsidR="00E11554" w:rsidRPr="00E11554" w:rsidRDefault="00E11554" w:rsidP="00E11554">
            <w:pPr>
              <w:spacing w:after="160" w:line="278" w:lineRule="auto"/>
            </w:pPr>
            <w:r w:rsidRPr="00E11554">
              <w:t>Will people with disability be involved in the evaluation process?</w:t>
            </w:r>
          </w:p>
        </w:tc>
        <w:tc>
          <w:tcPr>
            <w:tcW w:w="7149" w:type="dxa"/>
            <w:hideMark/>
          </w:tcPr>
          <w:p w14:paraId="226536E7" w14:textId="77777777" w:rsidR="00E11554" w:rsidRPr="00E11554" w:rsidRDefault="00E11554" w:rsidP="00E11554">
            <w:pPr>
              <w:spacing w:after="160" w:line="278" w:lineRule="auto"/>
            </w:pPr>
            <w:r w:rsidRPr="00E11554">
              <w:t>People with disability are involved in the broader project through engagement and advisory mechanisms. There is openness to their involvement in shaping evaluation design or sense</w:t>
            </w:r>
            <w:r w:rsidRPr="00E11554">
              <w:noBreakHyphen/>
              <w:t>making processes, where this can be done ethically and proportionately. Direct participation of people with disability in primary evaluation data collection is not assumed at this stage, given timing and scope considerations. People with disability are beneficiaries of the work, rather than direct users of program resources.</w:t>
            </w:r>
          </w:p>
        </w:tc>
      </w:tr>
      <w:tr w:rsidR="00E11554" w:rsidRPr="00E11554" w14:paraId="7454DD46" w14:textId="77777777" w:rsidTr="00003472">
        <w:tc>
          <w:tcPr>
            <w:tcW w:w="0" w:type="auto"/>
            <w:hideMark/>
          </w:tcPr>
          <w:p w14:paraId="0A1FD3E5" w14:textId="77777777" w:rsidR="00E11554" w:rsidRPr="00E11554" w:rsidRDefault="00E11554" w:rsidP="00E11554">
            <w:pPr>
              <w:spacing w:after="160" w:line="278" w:lineRule="auto"/>
            </w:pPr>
            <w:r w:rsidRPr="00E11554">
              <w:t>3</w:t>
            </w:r>
          </w:p>
        </w:tc>
        <w:tc>
          <w:tcPr>
            <w:tcW w:w="0" w:type="auto"/>
            <w:hideMark/>
          </w:tcPr>
          <w:p w14:paraId="0210B4AA" w14:textId="77777777" w:rsidR="00E11554" w:rsidRPr="00E11554" w:rsidRDefault="00E11554" w:rsidP="00E11554">
            <w:pPr>
              <w:spacing w:after="160" w:line="278" w:lineRule="auto"/>
              <w:rPr>
                <w:b/>
                <w:bCs/>
              </w:rPr>
            </w:pPr>
            <w:r w:rsidRPr="00E11554">
              <w:rPr>
                <w:b/>
                <w:bCs/>
              </w:rPr>
              <w:t>Coverage of the co</w:t>
            </w:r>
            <w:r w:rsidRPr="00E11554">
              <w:rPr>
                <w:b/>
                <w:bCs/>
              </w:rPr>
              <w:noBreakHyphen/>
              <w:t>design process</w:t>
            </w:r>
          </w:p>
        </w:tc>
        <w:tc>
          <w:tcPr>
            <w:tcW w:w="3455" w:type="dxa"/>
            <w:hideMark/>
          </w:tcPr>
          <w:p w14:paraId="55EF8146" w14:textId="77777777" w:rsidR="00E11554" w:rsidRPr="00E11554" w:rsidRDefault="00E11554" w:rsidP="00E11554">
            <w:pPr>
              <w:spacing w:after="160" w:line="278" w:lineRule="auto"/>
            </w:pPr>
            <w:r w:rsidRPr="00E11554">
              <w:t>Should the evaluation cover the co</w:t>
            </w:r>
            <w:r w:rsidRPr="00E11554">
              <w:noBreakHyphen/>
              <w:t>design process?</w:t>
            </w:r>
          </w:p>
        </w:tc>
        <w:tc>
          <w:tcPr>
            <w:tcW w:w="7149" w:type="dxa"/>
            <w:hideMark/>
          </w:tcPr>
          <w:p w14:paraId="603F3804" w14:textId="77777777" w:rsidR="00E11554" w:rsidRPr="00E11554" w:rsidRDefault="00E11554" w:rsidP="00E11554">
            <w:pPr>
              <w:spacing w:after="160" w:line="278" w:lineRule="auto"/>
            </w:pPr>
            <w:r w:rsidRPr="00E11554">
              <w:t>Yes. Including the co</w:t>
            </w:r>
            <w:r w:rsidRPr="00E11554">
              <w:noBreakHyphen/>
              <w:t>design process within the evaluation scope is appropriate. This may focus on process quality, inclusivity, learning, and implementation readiness, rather than outcomes for end users at this early stage.</w:t>
            </w:r>
          </w:p>
        </w:tc>
      </w:tr>
      <w:tr w:rsidR="00E11554" w:rsidRPr="00E11554" w14:paraId="61DF0147" w14:textId="77777777" w:rsidTr="00003472">
        <w:tc>
          <w:tcPr>
            <w:tcW w:w="0" w:type="auto"/>
            <w:hideMark/>
          </w:tcPr>
          <w:p w14:paraId="76B9AEE0" w14:textId="77777777" w:rsidR="00E11554" w:rsidRPr="00E11554" w:rsidRDefault="00E11554" w:rsidP="00E11554">
            <w:pPr>
              <w:spacing w:after="160" w:line="278" w:lineRule="auto"/>
            </w:pPr>
            <w:r w:rsidRPr="00E11554">
              <w:lastRenderedPageBreak/>
              <w:t>4</w:t>
            </w:r>
          </w:p>
        </w:tc>
        <w:tc>
          <w:tcPr>
            <w:tcW w:w="0" w:type="auto"/>
            <w:hideMark/>
          </w:tcPr>
          <w:p w14:paraId="4C76CFAB" w14:textId="77777777" w:rsidR="00E11554" w:rsidRPr="00E11554" w:rsidRDefault="00E11554" w:rsidP="00E11554">
            <w:pPr>
              <w:spacing w:after="160" w:line="278" w:lineRule="auto"/>
              <w:rPr>
                <w:b/>
                <w:bCs/>
              </w:rPr>
            </w:pPr>
            <w:r w:rsidRPr="00E11554">
              <w:rPr>
                <w:b/>
                <w:bCs/>
              </w:rPr>
              <w:t>Timing of primary data collection and outcomes</w:t>
            </w:r>
          </w:p>
        </w:tc>
        <w:tc>
          <w:tcPr>
            <w:tcW w:w="3455" w:type="dxa"/>
            <w:hideMark/>
          </w:tcPr>
          <w:p w14:paraId="0509BC8D" w14:textId="77777777" w:rsidR="00E11554" w:rsidRPr="00E11554" w:rsidRDefault="00E11554" w:rsidP="00E11554">
            <w:pPr>
              <w:spacing w:after="160" w:line="278" w:lineRule="auto"/>
            </w:pPr>
            <w:r w:rsidRPr="00E11554">
              <w:t>Is it too early for primary data collection and outcomes measurement for people with disability?</w:t>
            </w:r>
          </w:p>
        </w:tc>
        <w:tc>
          <w:tcPr>
            <w:tcW w:w="7149" w:type="dxa"/>
            <w:hideMark/>
          </w:tcPr>
          <w:p w14:paraId="61931023" w14:textId="77777777" w:rsidR="00E11554" w:rsidRPr="00E11554" w:rsidRDefault="00E11554" w:rsidP="00E11554">
            <w:pPr>
              <w:spacing w:after="160" w:line="278" w:lineRule="auto"/>
            </w:pPr>
            <w:r w:rsidRPr="00E11554">
              <w:t>It is acknowledged that it would be premature to seek outcomes data from people with disability interacting with professionals who have used program resources. The evaluation is expected to focus primarily on design, implementation, reach, early signals of change (e.g. professional confidence, capability, or intent), and readiness, rather than downstream outcomes.</w:t>
            </w:r>
          </w:p>
        </w:tc>
      </w:tr>
      <w:tr w:rsidR="00E11554" w:rsidRPr="00E11554" w14:paraId="1DD7C7AB" w14:textId="77777777" w:rsidTr="00003472">
        <w:tc>
          <w:tcPr>
            <w:tcW w:w="0" w:type="auto"/>
            <w:hideMark/>
          </w:tcPr>
          <w:p w14:paraId="4340F695" w14:textId="77777777" w:rsidR="00E11554" w:rsidRPr="00E11554" w:rsidRDefault="00E11554" w:rsidP="00E11554">
            <w:pPr>
              <w:spacing w:after="160" w:line="278" w:lineRule="auto"/>
            </w:pPr>
            <w:r w:rsidRPr="00E11554">
              <w:t>5</w:t>
            </w:r>
          </w:p>
        </w:tc>
        <w:tc>
          <w:tcPr>
            <w:tcW w:w="0" w:type="auto"/>
            <w:hideMark/>
          </w:tcPr>
          <w:p w14:paraId="2E407A49" w14:textId="77777777" w:rsidR="00E11554" w:rsidRPr="00E11554" w:rsidRDefault="00E11554" w:rsidP="00E11554">
            <w:pPr>
              <w:spacing w:after="160" w:line="278" w:lineRule="auto"/>
              <w:rPr>
                <w:b/>
                <w:bCs/>
              </w:rPr>
            </w:pPr>
            <w:r w:rsidRPr="00E11554">
              <w:rPr>
                <w:b/>
                <w:bCs/>
              </w:rPr>
              <w:t>Identifying people with disability</w:t>
            </w:r>
          </w:p>
        </w:tc>
        <w:tc>
          <w:tcPr>
            <w:tcW w:w="3455" w:type="dxa"/>
            <w:hideMark/>
          </w:tcPr>
          <w:p w14:paraId="7AA01949" w14:textId="77777777" w:rsidR="00E11554" w:rsidRPr="00E11554" w:rsidRDefault="00E11554" w:rsidP="00E11554">
            <w:pPr>
              <w:spacing w:after="160" w:line="278" w:lineRule="auto"/>
            </w:pPr>
            <w:r w:rsidRPr="00E11554">
              <w:t>Is identifying and engaging people with disability for evaluation purposes anticipated to be difficult at this stage?</w:t>
            </w:r>
          </w:p>
        </w:tc>
        <w:tc>
          <w:tcPr>
            <w:tcW w:w="7149" w:type="dxa"/>
            <w:hideMark/>
          </w:tcPr>
          <w:p w14:paraId="16F6D265" w14:textId="77777777" w:rsidR="00E11554" w:rsidRDefault="00E11554" w:rsidP="00E11554">
            <w:pPr>
              <w:spacing w:after="160" w:line="278" w:lineRule="auto"/>
            </w:pPr>
            <w:r w:rsidRPr="00E11554">
              <w:t>Yes. Identifying people with disability directly for evaluation purposes is likely to be challenging at this stage and is not a requirement. Proposals should be realistic about what can be achieved within the project scope and timeframe.</w:t>
            </w:r>
          </w:p>
          <w:p w14:paraId="6AF6EC65" w14:textId="6598A053" w:rsidR="00E11554" w:rsidRPr="00E11554" w:rsidRDefault="00E11554" w:rsidP="00676CC7">
            <w:pPr>
              <w:spacing w:after="160" w:line="278" w:lineRule="auto"/>
            </w:pPr>
            <w:r>
              <w:t>Respondents should be mindful that People with Disabilities are the beneficiaries of this program of work</w:t>
            </w:r>
            <w:r w:rsidR="00676CC7">
              <w:t>, with practitioners being the users.</w:t>
            </w:r>
          </w:p>
        </w:tc>
      </w:tr>
      <w:tr w:rsidR="00003472" w:rsidRPr="00E11554" w14:paraId="05574D89" w14:textId="77777777" w:rsidTr="00003472">
        <w:tc>
          <w:tcPr>
            <w:tcW w:w="0" w:type="auto"/>
            <w:hideMark/>
          </w:tcPr>
          <w:p w14:paraId="7A13B107" w14:textId="77777777" w:rsidR="00003472" w:rsidRPr="00E11554" w:rsidRDefault="00003472" w:rsidP="00E11554">
            <w:pPr>
              <w:spacing w:after="160" w:line="278" w:lineRule="auto"/>
            </w:pPr>
            <w:r w:rsidRPr="00E11554">
              <w:t>6</w:t>
            </w:r>
          </w:p>
        </w:tc>
        <w:tc>
          <w:tcPr>
            <w:tcW w:w="0" w:type="auto"/>
            <w:hideMark/>
          </w:tcPr>
          <w:p w14:paraId="607B4570" w14:textId="34C23656" w:rsidR="00003472" w:rsidRPr="00E11554" w:rsidRDefault="00003472" w:rsidP="00E11554">
            <w:pPr>
              <w:spacing w:after="160" w:line="278" w:lineRule="auto"/>
              <w:rPr>
                <w:b/>
                <w:bCs/>
              </w:rPr>
            </w:pPr>
            <w:r w:rsidRPr="00E11554">
              <w:rPr>
                <w:b/>
                <w:bCs/>
              </w:rPr>
              <w:t>Easy Read and plain English</w:t>
            </w:r>
          </w:p>
        </w:tc>
        <w:tc>
          <w:tcPr>
            <w:tcW w:w="3455" w:type="dxa"/>
            <w:hideMark/>
          </w:tcPr>
          <w:p w14:paraId="7423C91A" w14:textId="5CB852F9" w:rsidR="00003472" w:rsidRPr="00E11554" w:rsidRDefault="00003472" w:rsidP="00E11554">
            <w:pPr>
              <w:spacing w:after="160" w:line="278" w:lineRule="auto"/>
            </w:pPr>
            <w:r w:rsidRPr="00E11554">
              <w:t>Are Easy Read and plain English outputs required within the current scope and budget?</w:t>
            </w:r>
          </w:p>
        </w:tc>
        <w:tc>
          <w:tcPr>
            <w:tcW w:w="7149" w:type="dxa"/>
            <w:hideMark/>
          </w:tcPr>
          <w:p w14:paraId="1BE6EE79" w14:textId="00C6B725" w:rsidR="00003472" w:rsidRPr="00E11554" w:rsidRDefault="00003472" w:rsidP="00E11554">
            <w:pPr>
              <w:spacing w:after="160" w:line="278" w:lineRule="auto"/>
            </w:pPr>
            <w:r w:rsidRPr="00E11554">
              <w:t>There is reference</w:t>
            </w:r>
            <w:r>
              <w:t>d</w:t>
            </w:r>
            <w:r w:rsidRPr="00E11554">
              <w:t xml:space="preserve"> in project materials to accessibility, including Easy Read and plain English, as guiding principles. However, these are not mandated for all evaluation outputs. Respondents should propose proportionate and feasible approaches to accessibility within the available budget and scope.</w:t>
            </w:r>
          </w:p>
        </w:tc>
      </w:tr>
      <w:tr w:rsidR="00003472" w:rsidRPr="00E11554" w14:paraId="4BEE4C3B" w14:textId="77777777" w:rsidTr="00003472">
        <w:tc>
          <w:tcPr>
            <w:tcW w:w="0" w:type="auto"/>
            <w:hideMark/>
          </w:tcPr>
          <w:p w14:paraId="01462F61" w14:textId="77777777" w:rsidR="00003472" w:rsidRPr="00E11554" w:rsidRDefault="00003472" w:rsidP="00E11554">
            <w:pPr>
              <w:spacing w:after="160" w:line="278" w:lineRule="auto"/>
            </w:pPr>
            <w:r w:rsidRPr="00E11554">
              <w:t>7</w:t>
            </w:r>
          </w:p>
        </w:tc>
        <w:tc>
          <w:tcPr>
            <w:tcW w:w="0" w:type="auto"/>
            <w:hideMark/>
          </w:tcPr>
          <w:p w14:paraId="7C944EF6" w14:textId="7E03169D" w:rsidR="00003472" w:rsidRPr="00E11554" w:rsidRDefault="00003472" w:rsidP="00E11554">
            <w:pPr>
              <w:spacing w:after="160" w:line="278" w:lineRule="auto"/>
              <w:rPr>
                <w:b/>
                <w:bCs/>
              </w:rPr>
            </w:pPr>
            <w:r w:rsidRPr="00E11554">
              <w:rPr>
                <w:b/>
                <w:bCs/>
              </w:rPr>
              <w:t>Reporting frequency and timing</w:t>
            </w:r>
          </w:p>
        </w:tc>
        <w:tc>
          <w:tcPr>
            <w:tcW w:w="3455" w:type="dxa"/>
            <w:hideMark/>
          </w:tcPr>
          <w:p w14:paraId="60A63272" w14:textId="0351BAE2" w:rsidR="00003472" w:rsidRPr="00E11554" w:rsidRDefault="00003472" w:rsidP="00E11554">
            <w:pPr>
              <w:spacing w:after="160" w:line="278" w:lineRule="auto"/>
            </w:pPr>
            <w:r w:rsidRPr="00E11554">
              <w:t>How often is reporting required, and when is the first report expected?</w:t>
            </w:r>
          </w:p>
        </w:tc>
        <w:tc>
          <w:tcPr>
            <w:tcW w:w="7149" w:type="dxa"/>
            <w:hideMark/>
          </w:tcPr>
          <w:p w14:paraId="62EA2730" w14:textId="19FCEE5E" w:rsidR="00003472" w:rsidRPr="00E11554" w:rsidRDefault="00003472" w:rsidP="00E11554">
            <w:pPr>
              <w:spacing w:after="160" w:line="278" w:lineRule="auto"/>
            </w:pPr>
            <w:r w:rsidRPr="00E11554">
              <w:t>The expectation is for light</w:t>
            </w:r>
            <w:r w:rsidRPr="00E11554">
              <w:noBreakHyphen/>
              <w:t>touch, fit</w:t>
            </w:r>
            <w:r w:rsidRPr="00E11554">
              <w:noBreakHyphen/>
              <w:t>for</w:t>
            </w:r>
            <w:r w:rsidRPr="00E11554">
              <w:noBreakHyphen/>
              <w:t xml:space="preserve">purpose reporting aligned to project milestones. This may include an initial framework or inception output, periodic progress updates, and a final synthesis. </w:t>
            </w:r>
            <w:r w:rsidRPr="00E11554">
              <w:lastRenderedPageBreak/>
              <w:t xml:space="preserve">Specific reporting schedules can be proposed by respondents and will be agreed during contract finalisation. </w:t>
            </w:r>
          </w:p>
        </w:tc>
      </w:tr>
      <w:tr w:rsidR="00003472" w:rsidRPr="00E11554" w14:paraId="610CEC52" w14:textId="77777777" w:rsidTr="00003472">
        <w:tc>
          <w:tcPr>
            <w:tcW w:w="0" w:type="auto"/>
            <w:hideMark/>
          </w:tcPr>
          <w:p w14:paraId="0FEF4D93" w14:textId="77777777" w:rsidR="00003472" w:rsidRPr="00E11554" w:rsidRDefault="00003472" w:rsidP="00E11554">
            <w:pPr>
              <w:spacing w:after="160" w:line="278" w:lineRule="auto"/>
            </w:pPr>
            <w:r w:rsidRPr="00E11554">
              <w:lastRenderedPageBreak/>
              <w:t>8</w:t>
            </w:r>
          </w:p>
        </w:tc>
        <w:tc>
          <w:tcPr>
            <w:tcW w:w="0" w:type="auto"/>
            <w:hideMark/>
          </w:tcPr>
          <w:p w14:paraId="6A7FC795" w14:textId="25A91047" w:rsidR="00003472" w:rsidRPr="00E11554" w:rsidRDefault="00003472" w:rsidP="00E11554">
            <w:pPr>
              <w:spacing w:after="160" w:line="278" w:lineRule="auto"/>
              <w:rPr>
                <w:b/>
                <w:bCs/>
              </w:rPr>
            </w:pPr>
            <w:r w:rsidRPr="00E11554">
              <w:rPr>
                <w:b/>
                <w:bCs/>
              </w:rPr>
              <w:t>Evaluation reports vs dashboards</w:t>
            </w:r>
          </w:p>
        </w:tc>
        <w:tc>
          <w:tcPr>
            <w:tcW w:w="3455" w:type="dxa"/>
            <w:hideMark/>
          </w:tcPr>
          <w:p w14:paraId="43188E66" w14:textId="3FB26994" w:rsidR="00003472" w:rsidRPr="00E11554" w:rsidRDefault="00003472" w:rsidP="00E11554">
            <w:pPr>
              <w:spacing w:after="160" w:line="278" w:lineRule="auto"/>
            </w:pPr>
            <w:r w:rsidRPr="00E11554">
              <w:t>Is a full evaluation report required, or are monitoring dashboards preferred?</w:t>
            </w:r>
          </w:p>
        </w:tc>
        <w:tc>
          <w:tcPr>
            <w:tcW w:w="7149" w:type="dxa"/>
            <w:hideMark/>
          </w:tcPr>
          <w:p w14:paraId="201BAEC8" w14:textId="3B530A0D" w:rsidR="00003472" w:rsidRPr="00E11554" w:rsidRDefault="00003472" w:rsidP="00E11554">
            <w:pPr>
              <w:spacing w:after="160" w:line="278" w:lineRule="auto"/>
            </w:pPr>
            <w:r w:rsidRPr="00676CC7">
              <w:t>The focus is on producing evaluation outputs that support learning, decision</w:t>
            </w:r>
            <w:r>
              <w:t xml:space="preserve"> </w:t>
            </w:r>
            <w:r w:rsidRPr="00676CC7">
              <w:t xml:space="preserve">making, and continuous improvement. This may be achieved through evaluation reports, </w:t>
            </w:r>
            <w:r>
              <w:t xml:space="preserve">simple </w:t>
            </w:r>
            <w:r w:rsidRPr="00676CC7">
              <w:t>monitoring dashboards, or a combination of both, provided they are clearly linked to a fit</w:t>
            </w:r>
            <w:r w:rsidRPr="00676CC7">
              <w:noBreakHyphen/>
              <w:t>for</w:t>
            </w:r>
            <w:r w:rsidRPr="00676CC7">
              <w:noBreakHyphen/>
              <w:t>purpose logic model or theory of change and enable interpretation of progress toward intended outcomes. Outputs should support reflective sense</w:t>
            </w:r>
            <w:r>
              <w:t xml:space="preserve"> </w:t>
            </w:r>
            <w:r w:rsidRPr="00676CC7">
              <w:t>making and inform ongoing delivery</w:t>
            </w:r>
            <w:r>
              <w:t>.</w:t>
            </w:r>
          </w:p>
        </w:tc>
      </w:tr>
      <w:tr w:rsidR="00003472" w:rsidRPr="00E11554" w14:paraId="77C9E8BF" w14:textId="77777777" w:rsidTr="00003472">
        <w:tc>
          <w:tcPr>
            <w:tcW w:w="0" w:type="auto"/>
            <w:hideMark/>
          </w:tcPr>
          <w:p w14:paraId="47D2F26F" w14:textId="77777777" w:rsidR="00003472" w:rsidRPr="00E11554" w:rsidRDefault="00003472" w:rsidP="00E11554">
            <w:pPr>
              <w:spacing w:after="160" w:line="278" w:lineRule="auto"/>
            </w:pPr>
            <w:r w:rsidRPr="00E11554">
              <w:t>9</w:t>
            </w:r>
          </w:p>
        </w:tc>
        <w:tc>
          <w:tcPr>
            <w:tcW w:w="0" w:type="auto"/>
            <w:hideMark/>
          </w:tcPr>
          <w:p w14:paraId="02AB74B4" w14:textId="78B02F61" w:rsidR="00003472" w:rsidRPr="00E11554" w:rsidRDefault="00003472" w:rsidP="00E11554">
            <w:pPr>
              <w:spacing w:after="160" w:line="278" w:lineRule="auto"/>
              <w:rPr>
                <w:b/>
                <w:bCs/>
              </w:rPr>
            </w:pPr>
            <w:r w:rsidRPr="00E11554">
              <w:rPr>
                <w:b/>
                <w:bCs/>
              </w:rPr>
              <w:t>Survey platforms and dashboarding software</w:t>
            </w:r>
          </w:p>
        </w:tc>
        <w:tc>
          <w:tcPr>
            <w:tcW w:w="3455" w:type="dxa"/>
            <w:hideMark/>
          </w:tcPr>
          <w:p w14:paraId="06A8D1D8" w14:textId="7111E612" w:rsidR="00003472" w:rsidRPr="00E11554" w:rsidRDefault="00003472" w:rsidP="00E11554">
            <w:pPr>
              <w:spacing w:after="160" w:line="278" w:lineRule="auto"/>
            </w:pPr>
            <w:r w:rsidRPr="00E11554">
              <w:t>Will survey platforms and dashboarding software be provided?</w:t>
            </w:r>
          </w:p>
        </w:tc>
        <w:tc>
          <w:tcPr>
            <w:tcW w:w="7149" w:type="dxa"/>
            <w:hideMark/>
          </w:tcPr>
          <w:p w14:paraId="59C04664" w14:textId="77777777" w:rsidR="00003472" w:rsidRDefault="00003472" w:rsidP="00E11554">
            <w:pPr>
              <w:spacing w:after="160" w:line="278" w:lineRule="auto"/>
            </w:pPr>
            <w:r w:rsidRPr="00E11554">
              <w:t>Respondents should assume that any survey or dashboarding tools they propose would be implemented using their own systems, unless otherwise agreed. Proposals should clearly identify platform requirements, costs, and implications. Simple approaches are preferred.</w:t>
            </w:r>
            <w:r>
              <w:t xml:space="preserve">  </w:t>
            </w:r>
            <w:proofErr w:type="gramStart"/>
            <w:r>
              <w:t>However</w:t>
            </w:r>
            <w:proofErr w:type="gramEnd"/>
            <w:r>
              <w:t xml:space="preserve"> we do encourage simple and transferrable solutions.</w:t>
            </w:r>
          </w:p>
          <w:p w14:paraId="158704A5" w14:textId="40594D15" w:rsidR="00003472" w:rsidRPr="00E11554" w:rsidRDefault="00003472" w:rsidP="00E11554">
            <w:pPr>
              <w:spacing w:after="160" w:line="278" w:lineRule="auto"/>
            </w:pPr>
            <w:r>
              <w:t>ACOLA does have a licence for Survey Monkey that can be leveraged.</w:t>
            </w:r>
          </w:p>
        </w:tc>
      </w:tr>
      <w:tr w:rsidR="00003472" w:rsidRPr="00E11554" w14:paraId="1A65A0C2" w14:textId="77777777" w:rsidTr="00003472">
        <w:tc>
          <w:tcPr>
            <w:tcW w:w="0" w:type="auto"/>
            <w:hideMark/>
          </w:tcPr>
          <w:p w14:paraId="17F2EEE6" w14:textId="77777777" w:rsidR="00003472" w:rsidRPr="00E11554" w:rsidRDefault="00003472" w:rsidP="00E11554">
            <w:pPr>
              <w:spacing w:after="160" w:line="278" w:lineRule="auto"/>
            </w:pPr>
            <w:r w:rsidRPr="00E11554">
              <w:t>10</w:t>
            </w:r>
          </w:p>
        </w:tc>
        <w:tc>
          <w:tcPr>
            <w:tcW w:w="0" w:type="auto"/>
            <w:hideMark/>
          </w:tcPr>
          <w:p w14:paraId="5DC3A107" w14:textId="390F0AA0" w:rsidR="00003472" w:rsidRPr="00E11554" w:rsidRDefault="00003472" w:rsidP="00E11554">
            <w:pPr>
              <w:spacing w:after="160" w:line="278" w:lineRule="auto"/>
              <w:rPr>
                <w:b/>
                <w:bCs/>
              </w:rPr>
            </w:pPr>
            <w:r w:rsidRPr="00E11554">
              <w:rPr>
                <w:b/>
                <w:bCs/>
              </w:rPr>
              <w:t>Capacity building</w:t>
            </w:r>
          </w:p>
        </w:tc>
        <w:tc>
          <w:tcPr>
            <w:tcW w:w="3455" w:type="dxa"/>
            <w:hideMark/>
          </w:tcPr>
          <w:p w14:paraId="35058194" w14:textId="4B465FB7" w:rsidR="00003472" w:rsidRPr="00E11554" w:rsidRDefault="00003472" w:rsidP="00E11554">
            <w:pPr>
              <w:spacing w:after="160" w:line="278" w:lineRule="auto"/>
            </w:pPr>
            <w:r w:rsidRPr="00E11554">
              <w:t>What is meant by capacity building as a deliverable?</w:t>
            </w:r>
          </w:p>
        </w:tc>
        <w:tc>
          <w:tcPr>
            <w:tcW w:w="7149" w:type="dxa"/>
            <w:hideMark/>
          </w:tcPr>
          <w:p w14:paraId="2F48E428" w14:textId="60E9F2D3" w:rsidR="00003472" w:rsidRPr="00E11554" w:rsidRDefault="00003472" w:rsidP="00E11554">
            <w:pPr>
              <w:spacing w:after="160" w:line="278" w:lineRule="auto"/>
            </w:pPr>
            <w:r w:rsidRPr="00E11554">
              <w:t>Capacity building refers primarily to building the ACOLA project team’s capability to understand, use, and sustain the monitoring and evaluation framework over time. While the Advisor is expected to undertake the core evaluation design and setup work, proposals may also include light</w:t>
            </w:r>
            <w:r w:rsidRPr="00E11554">
              <w:noBreakHyphen/>
              <w:t>touch capability</w:t>
            </w:r>
            <w:r w:rsidRPr="00E11554">
              <w:noBreakHyphen/>
              <w:t xml:space="preserve">building activities (e.g. </w:t>
            </w:r>
            <w:r w:rsidRPr="00E11554">
              <w:lastRenderedPageBreak/>
              <w:t>workshops, guidance materials, or coaching) where these add value and are proportionate.</w:t>
            </w:r>
          </w:p>
        </w:tc>
      </w:tr>
      <w:tr w:rsidR="00003472" w:rsidRPr="00E11554" w14:paraId="69B9CA74" w14:textId="77777777" w:rsidTr="00003472">
        <w:tc>
          <w:tcPr>
            <w:tcW w:w="0" w:type="auto"/>
            <w:hideMark/>
          </w:tcPr>
          <w:p w14:paraId="47D4FE3B" w14:textId="77777777" w:rsidR="00003472" w:rsidRPr="00E11554" w:rsidRDefault="00003472" w:rsidP="00E11554">
            <w:pPr>
              <w:spacing w:after="160" w:line="278" w:lineRule="auto"/>
            </w:pPr>
            <w:r w:rsidRPr="00E11554">
              <w:lastRenderedPageBreak/>
              <w:t>11</w:t>
            </w:r>
          </w:p>
        </w:tc>
        <w:tc>
          <w:tcPr>
            <w:tcW w:w="0" w:type="auto"/>
            <w:hideMark/>
          </w:tcPr>
          <w:p w14:paraId="5129E969" w14:textId="72D4BD68" w:rsidR="00003472" w:rsidRPr="00E11554" w:rsidRDefault="00003472" w:rsidP="00E11554">
            <w:pPr>
              <w:spacing w:after="160" w:line="278" w:lineRule="auto"/>
              <w:rPr>
                <w:b/>
                <w:bCs/>
              </w:rPr>
            </w:pPr>
            <w:r w:rsidRPr="00E11554">
              <w:rPr>
                <w:b/>
                <w:bCs/>
              </w:rPr>
              <w:t>Workshops and sessions</w:t>
            </w:r>
          </w:p>
        </w:tc>
        <w:tc>
          <w:tcPr>
            <w:tcW w:w="3455" w:type="dxa"/>
            <w:hideMark/>
          </w:tcPr>
          <w:p w14:paraId="4FEC4207" w14:textId="6C5B7147" w:rsidR="00003472" w:rsidRPr="00E11554" w:rsidRDefault="00003472" w:rsidP="00E11554">
            <w:pPr>
              <w:spacing w:after="160" w:line="278" w:lineRule="auto"/>
            </w:pPr>
            <w:r w:rsidRPr="00E11554">
              <w:t>Are facilitated sessions expected to support framework development and ongoing implementation?</w:t>
            </w:r>
          </w:p>
        </w:tc>
        <w:tc>
          <w:tcPr>
            <w:tcW w:w="7149" w:type="dxa"/>
            <w:hideMark/>
          </w:tcPr>
          <w:p w14:paraId="35ADDB10" w14:textId="56EF7DF1" w:rsidR="00003472" w:rsidRPr="00E11554" w:rsidRDefault="00003472" w:rsidP="00E11554">
            <w:pPr>
              <w:spacing w:after="160" w:line="278" w:lineRule="auto"/>
            </w:pPr>
            <w:r w:rsidRPr="00E11554">
              <w:t>Yes. Facilitated sessions to support co</w:t>
            </w:r>
            <w:r w:rsidRPr="00E11554">
              <w:noBreakHyphen/>
              <w:t>development of the evaluation framework and enable ongoing implementation are considered valuable. Respondents are encouraged to propose how such sessions could be structured and delivered efficiently.</w:t>
            </w:r>
          </w:p>
        </w:tc>
      </w:tr>
    </w:tbl>
    <w:p w14:paraId="79D13673" w14:textId="77777777" w:rsidR="00E11554" w:rsidRDefault="00E11554"/>
    <w:sectPr w:rsidR="00E11554" w:rsidSect="00EE2EA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E2191"/>
    <w:multiLevelType w:val="multilevel"/>
    <w:tmpl w:val="05AE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87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A6"/>
    <w:rsid w:val="00003472"/>
    <w:rsid w:val="000B533D"/>
    <w:rsid w:val="002E4AF8"/>
    <w:rsid w:val="00676CC7"/>
    <w:rsid w:val="0072582E"/>
    <w:rsid w:val="008D7BD0"/>
    <w:rsid w:val="00CE4CDE"/>
    <w:rsid w:val="00D970A6"/>
    <w:rsid w:val="00D9763A"/>
    <w:rsid w:val="00DA3B48"/>
    <w:rsid w:val="00E11554"/>
    <w:rsid w:val="00EE2EA6"/>
    <w:rsid w:val="00F26B55"/>
    <w:rsid w:val="00FB34CB"/>
    <w:rsid w:val="0A0CD5C4"/>
    <w:rsid w:val="38B7B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87A3"/>
  <w15:chartTrackingRefBased/>
  <w15:docId w15:val="{B88DC2D5-11ED-4502-910A-CB4E21F6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54"/>
  </w:style>
  <w:style w:type="paragraph" w:styleId="Heading1">
    <w:name w:val="heading 1"/>
    <w:basedOn w:val="Normal"/>
    <w:next w:val="Normal"/>
    <w:link w:val="Heading1Char"/>
    <w:uiPriority w:val="9"/>
    <w:qFormat/>
    <w:rsid w:val="00EE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EA6"/>
    <w:rPr>
      <w:rFonts w:eastAsiaTheme="majorEastAsia" w:cstheme="majorBidi"/>
      <w:color w:val="272727" w:themeColor="text1" w:themeTint="D8"/>
    </w:rPr>
  </w:style>
  <w:style w:type="paragraph" w:styleId="Title">
    <w:name w:val="Title"/>
    <w:basedOn w:val="Normal"/>
    <w:next w:val="Normal"/>
    <w:link w:val="TitleChar"/>
    <w:uiPriority w:val="10"/>
    <w:qFormat/>
    <w:rsid w:val="00EE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EA6"/>
    <w:pPr>
      <w:spacing w:before="160"/>
      <w:jc w:val="center"/>
    </w:pPr>
    <w:rPr>
      <w:i/>
      <w:iCs/>
      <w:color w:val="404040" w:themeColor="text1" w:themeTint="BF"/>
    </w:rPr>
  </w:style>
  <w:style w:type="character" w:customStyle="1" w:styleId="QuoteChar">
    <w:name w:val="Quote Char"/>
    <w:basedOn w:val="DefaultParagraphFont"/>
    <w:link w:val="Quote"/>
    <w:uiPriority w:val="29"/>
    <w:rsid w:val="00EE2EA6"/>
    <w:rPr>
      <w:i/>
      <w:iCs/>
      <w:color w:val="404040" w:themeColor="text1" w:themeTint="BF"/>
    </w:rPr>
  </w:style>
  <w:style w:type="paragraph" w:styleId="ListParagraph">
    <w:name w:val="List Paragraph"/>
    <w:basedOn w:val="Normal"/>
    <w:uiPriority w:val="34"/>
    <w:qFormat/>
    <w:rsid w:val="00EE2EA6"/>
    <w:pPr>
      <w:ind w:left="720"/>
      <w:contextualSpacing/>
    </w:pPr>
  </w:style>
  <w:style w:type="character" w:styleId="IntenseEmphasis">
    <w:name w:val="Intense Emphasis"/>
    <w:basedOn w:val="DefaultParagraphFont"/>
    <w:uiPriority w:val="21"/>
    <w:qFormat/>
    <w:rsid w:val="00EE2EA6"/>
    <w:rPr>
      <w:i/>
      <w:iCs/>
      <w:color w:val="0F4761" w:themeColor="accent1" w:themeShade="BF"/>
    </w:rPr>
  </w:style>
  <w:style w:type="paragraph" w:styleId="IntenseQuote">
    <w:name w:val="Intense Quote"/>
    <w:basedOn w:val="Normal"/>
    <w:next w:val="Normal"/>
    <w:link w:val="IntenseQuoteChar"/>
    <w:uiPriority w:val="30"/>
    <w:qFormat/>
    <w:rsid w:val="00EE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EA6"/>
    <w:rPr>
      <w:i/>
      <w:iCs/>
      <w:color w:val="0F4761" w:themeColor="accent1" w:themeShade="BF"/>
    </w:rPr>
  </w:style>
  <w:style w:type="character" w:styleId="IntenseReference">
    <w:name w:val="Intense Reference"/>
    <w:basedOn w:val="DefaultParagraphFont"/>
    <w:uiPriority w:val="32"/>
    <w:qFormat/>
    <w:rsid w:val="00EE2EA6"/>
    <w:rPr>
      <w:b/>
      <w:bCs/>
      <w:smallCaps/>
      <w:color w:val="0F4761" w:themeColor="accent1" w:themeShade="BF"/>
      <w:spacing w:val="5"/>
    </w:rPr>
  </w:style>
  <w:style w:type="table" w:styleId="TableGrid">
    <w:name w:val="Table Grid"/>
    <w:basedOn w:val="TableNormal"/>
    <w:uiPriority w:val="39"/>
    <w:rsid w:val="00EE2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Kewley (ACOLA)</dc:creator>
  <cp:keywords/>
  <dc:description/>
  <cp:lastModifiedBy>Jade Murray (ACOLA)</cp:lastModifiedBy>
  <cp:revision>3</cp:revision>
  <dcterms:created xsi:type="dcterms:W3CDTF">2026-04-16T05:13:00Z</dcterms:created>
  <dcterms:modified xsi:type="dcterms:W3CDTF">2026-04-16T05:28:00Z</dcterms:modified>
</cp:coreProperties>
</file>